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6B685" w14:textId="77777777" w:rsidR="00B444A1" w:rsidRPr="00B444A1" w:rsidRDefault="00B444A1" w:rsidP="00B444A1">
      <w:pPr>
        <w:spacing w:after="0" w:line="240" w:lineRule="auto"/>
        <w:jc w:val="right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58E4DD50" w14:textId="18285D6A" w:rsidR="00B444A1" w:rsidRPr="00920C56" w:rsidRDefault="00B444A1" w:rsidP="00B444A1">
      <w:pPr>
        <w:spacing w:after="0" w:line="240" w:lineRule="auto"/>
        <w:jc w:val="right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 xml:space="preserve">Załącznik nr </w:t>
      </w:r>
      <w:r w:rsidR="00950554">
        <w:rPr>
          <w:rFonts w:eastAsia="Times New Roman" w:cs="Calibri"/>
          <w:kern w:val="0"/>
          <w:lang w:eastAsia="pl-PL"/>
          <w14:ligatures w14:val="none"/>
        </w:rPr>
        <w:t>4</w:t>
      </w:r>
      <w:r w:rsidRPr="00920C56">
        <w:rPr>
          <w:rFonts w:eastAsia="Times New Roman" w:cs="Calibri"/>
          <w:kern w:val="0"/>
          <w:lang w:eastAsia="pl-PL"/>
          <w14:ligatures w14:val="none"/>
        </w:rPr>
        <w:t xml:space="preserve"> do Zapytania ofertowego</w:t>
      </w:r>
    </w:p>
    <w:p w14:paraId="5F0B2D76" w14:textId="77777777" w:rsidR="00B444A1" w:rsidRPr="00920C56" w:rsidRDefault="00B444A1" w:rsidP="00B444A1">
      <w:pPr>
        <w:spacing w:after="0" w:line="240" w:lineRule="auto"/>
        <w:rPr>
          <w:rFonts w:eastAsia="Times New Roman" w:cs="Calibri"/>
          <w:kern w:val="0"/>
          <w:lang w:eastAsia="pl-PL"/>
          <w14:ligatures w14:val="none"/>
        </w:rPr>
      </w:pPr>
    </w:p>
    <w:p w14:paraId="4ADBFB2E" w14:textId="77777777" w:rsidR="00B444A1" w:rsidRPr="00920C56" w:rsidRDefault="00B444A1" w:rsidP="00B444A1">
      <w:pPr>
        <w:spacing w:after="0" w:line="240" w:lineRule="auto"/>
        <w:rPr>
          <w:rFonts w:eastAsia="Times New Roman" w:cs="Calibri"/>
          <w:kern w:val="0"/>
          <w:lang w:eastAsia="pl-PL"/>
          <w14:ligatures w14:val="none"/>
        </w:rPr>
      </w:pPr>
    </w:p>
    <w:p w14:paraId="74400274" w14:textId="77777777" w:rsidR="00B444A1" w:rsidRPr="00920C56" w:rsidRDefault="00B444A1" w:rsidP="00B444A1">
      <w:pPr>
        <w:spacing w:after="0" w:line="240" w:lineRule="auto"/>
        <w:jc w:val="center"/>
        <w:rPr>
          <w:rFonts w:eastAsia="Times New Roman" w:cs="Calibri"/>
          <w:kern w:val="0"/>
          <w:u w:val="single"/>
          <w:lang w:eastAsia="pl-PL"/>
          <w14:ligatures w14:val="none"/>
        </w:rPr>
      </w:pPr>
      <w:r w:rsidRPr="00920C56">
        <w:rPr>
          <w:rFonts w:eastAsia="Times New Roman" w:cs="Calibri"/>
          <w:kern w:val="0"/>
          <w:u w:val="single"/>
          <w:lang w:eastAsia="pl-PL"/>
          <w14:ligatures w14:val="none"/>
        </w:rPr>
        <w:t>Specyfikacja podziałów wodowskazowych:</w:t>
      </w:r>
    </w:p>
    <w:p w14:paraId="56AB07D0" w14:textId="77777777" w:rsidR="00B444A1" w:rsidRPr="00920C56" w:rsidRDefault="00B444A1" w:rsidP="00B444A1">
      <w:pPr>
        <w:spacing w:after="0" w:line="240" w:lineRule="auto"/>
        <w:jc w:val="center"/>
        <w:rPr>
          <w:rFonts w:eastAsia="Times New Roman" w:cs="Calibri"/>
          <w:kern w:val="0"/>
          <w:u w:val="single"/>
          <w:lang w:eastAsia="pl-PL"/>
          <w14:ligatures w14:val="none"/>
        </w:rPr>
      </w:pPr>
    </w:p>
    <w:p w14:paraId="7A579126" w14:textId="77777777" w:rsidR="00B444A1" w:rsidRPr="00920C56" w:rsidRDefault="00B444A1" w:rsidP="00B444A1">
      <w:pPr>
        <w:spacing w:after="0" w:line="240" w:lineRule="auto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b/>
          <w:kern w:val="0"/>
          <w:lang w:eastAsia="pl-PL"/>
          <w14:ligatures w14:val="none"/>
        </w:rPr>
        <w:t>Podziały wodowskazowe do wyposażenia stacji hydrologicznych IMGW-PIB z PCV składające się z tablic głównych, tablic decymetrowych oraz tablic dwukolorowych.</w:t>
      </w:r>
    </w:p>
    <w:p w14:paraId="0C684FCD" w14:textId="77777777" w:rsidR="00B444A1" w:rsidRPr="00920C56" w:rsidRDefault="00B444A1" w:rsidP="00B444A1">
      <w:pPr>
        <w:spacing w:after="0" w:line="240" w:lineRule="auto"/>
        <w:jc w:val="center"/>
        <w:rPr>
          <w:rFonts w:eastAsia="Times New Roman" w:cs="Calibri"/>
          <w:kern w:val="0"/>
          <w:lang w:eastAsia="pl-PL"/>
          <w14:ligatures w14:val="none"/>
        </w:rPr>
      </w:pPr>
    </w:p>
    <w:p w14:paraId="18CA1BA7" w14:textId="77777777" w:rsidR="00B444A1" w:rsidRPr="00920C56" w:rsidRDefault="00B444A1" w:rsidP="00B444A1">
      <w:pPr>
        <w:spacing w:after="0" w:line="240" w:lineRule="auto"/>
        <w:jc w:val="center"/>
        <w:rPr>
          <w:rFonts w:eastAsia="Times New Roman" w:cs="Calibri"/>
          <w:kern w:val="0"/>
          <w:lang w:eastAsia="pl-PL"/>
          <w14:ligatures w14:val="none"/>
        </w:rPr>
      </w:pPr>
    </w:p>
    <w:p w14:paraId="1C93A7A4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u w:val="single"/>
          <w:lang w:eastAsia="pl-PL"/>
          <w14:ligatures w14:val="none"/>
        </w:rPr>
      </w:pPr>
      <w:r w:rsidRPr="00920C56">
        <w:rPr>
          <w:rFonts w:eastAsia="Times New Roman" w:cs="Calibri"/>
          <w:kern w:val="0"/>
          <w:u w:val="single"/>
          <w:lang w:eastAsia="pl-PL"/>
          <w14:ligatures w14:val="none"/>
        </w:rPr>
        <w:t xml:space="preserve">Specyfikacja produktu: </w:t>
      </w:r>
      <w:r w:rsidRPr="00920C56">
        <w:rPr>
          <w:rFonts w:eastAsia="Times New Roman" w:cs="Calibri"/>
          <w:kern w:val="0"/>
          <w:lang w:eastAsia="pl-PL"/>
          <w14:ligatures w14:val="none"/>
        </w:rPr>
        <w:t xml:space="preserve">Podział wodowskazowy: </w:t>
      </w:r>
    </w:p>
    <w:p w14:paraId="67930D7A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</w:p>
    <w:p w14:paraId="0F78E56E" w14:textId="77777777" w:rsidR="00B444A1" w:rsidRPr="00920C56" w:rsidRDefault="00B444A1" w:rsidP="00B444A1">
      <w:pPr>
        <w:numPr>
          <w:ilvl w:val="0"/>
          <w:numId w:val="1"/>
        </w:numPr>
        <w:spacing w:after="0" w:line="240" w:lineRule="auto"/>
        <w:jc w:val="both"/>
        <w:rPr>
          <w:rFonts w:eastAsia="Times New Roman" w:cs="Calibri"/>
          <w:b/>
          <w:kern w:val="0"/>
          <w:lang w:eastAsia="pl-PL"/>
          <w14:ligatures w14:val="none"/>
        </w:rPr>
      </w:pPr>
      <w:r w:rsidRPr="00920C56">
        <w:rPr>
          <w:rFonts w:eastAsia="Times New Roman" w:cs="Calibri"/>
          <w:b/>
          <w:kern w:val="0"/>
          <w:lang w:eastAsia="pl-PL"/>
          <w14:ligatures w14:val="none"/>
        </w:rPr>
        <w:t>Podział wodowskazowy musi być wykonany w kolorze białym z PCV utwardzonego, stabilizowanego na działanie promieni UV.</w:t>
      </w:r>
    </w:p>
    <w:p w14:paraId="2C0653DA" w14:textId="77777777" w:rsidR="00B444A1" w:rsidRPr="00920C56" w:rsidRDefault="00B444A1" w:rsidP="00B444A1">
      <w:pPr>
        <w:spacing w:after="0" w:line="240" w:lineRule="auto"/>
        <w:ind w:left="360"/>
        <w:jc w:val="both"/>
        <w:rPr>
          <w:rFonts w:eastAsia="Times New Roman" w:cs="Calibri"/>
          <w:b/>
          <w:kern w:val="0"/>
          <w:lang w:eastAsia="pl-PL"/>
          <w14:ligatures w14:val="none"/>
        </w:rPr>
      </w:pPr>
    </w:p>
    <w:p w14:paraId="09CB9017" w14:textId="77777777" w:rsidR="00B444A1" w:rsidRPr="00920C56" w:rsidRDefault="00B444A1" w:rsidP="00B444A1">
      <w:pPr>
        <w:numPr>
          <w:ilvl w:val="0"/>
          <w:numId w:val="1"/>
        </w:numPr>
        <w:spacing w:after="0" w:line="240" w:lineRule="auto"/>
        <w:jc w:val="both"/>
        <w:rPr>
          <w:rFonts w:eastAsia="Times New Roman" w:cs="Calibri"/>
          <w:b/>
          <w:kern w:val="0"/>
          <w:lang w:eastAsia="pl-PL"/>
          <w14:ligatures w14:val="none"/>
        </w:rPr>
      </w:pPr>
      <w:r w:rsidRPr="00920C56">
        <w:rPr>
          <w:rFonts w:eastAsia="Times New Roman" w:cs="Calibri"/>
          <w:b/>
          <w:kern w:val="0"/>
          <w:lang w:eastAsia="pl-PL"/>
          <w14:ligatures w14:val="none"/>
        </w:rPr>
        <w:t>Podziałka oraz cyfry i logotyp IMGW-PIB naniesione w kolorze czarnym.</w:t>
      </w:r>
    </w:p>
    <w:p w14:paraId="6163772E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b/>
          <w:kern w:val="0"/>
          <w:lang w:eastAsia="pl-PL"/>
          <w14:ligatures w14:val="none"/>
        </w:rPr>
      </w:pPr>
    </w:p>
    <w:p w14:paraId="3FDFFBB9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>Wykonane napisy oraz materiał z którego są wykonane podziały ma zapewniać ich trwałość z uwagi na to, że będą poddawane zmiennym warunkom atmosferycznym, działaniu wody, lodu, promieniowania słonecznego. Warstwa zewnętrzna (ochronna) podziału musi być gładka, błyszcząca, odporna na promieniowanie UV oraz ścieranie z uwagi na konieczność jej czyszczenia podczas eksploatacji (osadzanie się zanieczyszczeń nanoszonych przez wodę, lodu itp.). Czytelność podziałów musi być zachowana pomimo trudnych warunków eksploatacji.</w:t>
      </w:r>
    </w:p>
    <w:p w14:paraId="0EC8C426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</w:p>
    <w:p w14:paraId="47199469" w14:textId="77777777" w:rsidR="00B444A1" w:rsidRPr="00920C56" w:rsidRDefault="00B444A1" w:rsidP="00B444A1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Calibri"/>
          <w:b/>
          <w:kern w:val="0"/>
          <w:lang w:eastAsia="pl-PL"/>
          <w14:ligatures w14:val="none"/>
        </w:rPr>
      </w:pPr>
      <w:r w:rsidRPr="00920C56">
        <w:rPr>
          <w:rFonts w:eastAsia="Times New Roman" w:cs="Calibri"/>
          <w:b/>
          <w:kern w:val="0"/>
          <w:lang w:eastAsia="pl-PL"/>
          <w14:ligatures w14:val="none"/>
        </w:rPr>
        <w:t xml:space="preserve"> Podział wodowskazowy składa się z trzech rodzajów komponentów:</w:t>
      </w:r>
    </w:p>
    <w:p w14:paraId="3B5F593C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</w:p>
    <w:p w14:paraId="53EF2B83" w14:textId="77777777" w:rsidR="00B444A1" w:rsidRPr="00920C56" w:rsidRDefault="00B444A1" w:rsidP="00B444A1">
      <w:pPr>
        <w:keepNext/>
        <w:spacing w:after="0" w:line="240" w:lineRule="auto"/>
        <w:jc w:val="both"/>
        <w:outlineLvl w:val="0"/>
        <w:rPr>
          <w:rFonts w:eastAsia="Times New Roman" w:cs="Calibri"/>
          <w:bCs/>
          <w:kern w:val="0"/>
          <w:u w:val="single"/>
          <w:lang w:eastAsia="pl-PL"/>
          <w14:ligatures w14:val="none"/>
        </w:rPr>
      </w:pPr>
      <w:r w:rsidRPr="00920C56">
        <w:rPr>
          <w:rFonts w:eastAsia="Times New Roman" w:cs="Calibri"/>
          <w:bCs/>
          <w:kern w:val="0"/>
          <w:u w:val="single"/>
          <w:lang w:eastAsia="pl-PL"/>
          <w14:ligatures w14:val="none"/>
        </w:rPr>
        <w:t>Podział główny</w:t>
      </w:r>
    </w:p>
    <w:p w14:paraId="19651CD4" w14:textId="77777777" w:rsidR="00B444A1" w:rsidRPr="00920C56" w:rsidRDefault="00B444A1" w:rsidP="00B444A1">
      <w:pPr>
        <w:spacing w:after="0" w:line="240" w:lineRule="auto"/>
        <w:rPr>
          <w:rFonts w:eastAsia="Times New Roman" w:cs="Calibri"/>
          <w:kern w:val="0"/>
          <w:sz w:val="20"/>
          <w:szCs w:val="20"/>
          <w:lang w:eastAsia="pl-PL"/>
          <w14:ligatures w14:val="none"/>
        </w:rPr>
      </w:pPr>
    </w:p>
    <w:p w14:paraId="570FBB7E" w14:textId="77777777" w:rsidR="00B444A1" w:rsidRPr="00920C56" w:rsidRDefault="00B444A1" w:rsidP="00B444A1">
      <w:pPr>
        <w:spacing w:after="12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 xml:space="preserve">Jeden metr podziału głównego składa się z dwóch tablic o wymiarach: długość </w:t>
      </w:r>
      <w:smartTag w:uri="urn:schemas-microsoft-com:office:smarttags" w:element="metricconverter">
        <w:smartTagPr>
          <w:attr w:name="ProductID" w:val="500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500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0,5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), szerokość 110 (tolerancja wymiaru +/- </w:t>
      </w:r>
      <w:smartTag w:uri="urn:schemas-microsoft-com:office:smarttags" w:element="metricconverter">
        <w:smartTagPr>
          <w:attr w:name="ProductID" w:val="0,5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0,5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), grubość 3,5 do </w:t>
      </w:r>
      <w:smartTag w:uri="urn:schemas-microsoft-com:office:smarttags" w:element="metricconverter">
        <w:smartTagPr>
          <w:attr w:name="ProductID" w:val="4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4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.  Naniesiona jest na nim, wykonana naprzemiennie (decymetr drugi przesunięty w stosunku do pierwszego itd.), podziałka dwudziestomilimetrowa z opisem cyfrowym co 1 decymetr. Jeden rodzaj tablic jest opisany cyframi od 0 do 4,  a drugi od 5 do 9 (fot. 1). Szczegółowy wygląd podziału przedstawiają fotografie poniżej Materiał: tworzywo sztuczne. Kolorystyka cyfry i podziałka w kolorze czarnym, tło w kolorze białym. Podziałkę stanowią czarne prostokąty o wymiarach: </w:t>
      </w:r>
      <w:smartTag w:uri="urn:schemas-microsoft-com:office:smarttags" w:element="metricconverter">
        <w:smartTagPr>
          <w:attr w:name="ProductID" w:val="20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20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 na </w:t>
      </w:r>
      <w:smartTag w:uri="urn:schemas-microsoft-com:office:smarttags" w:element="metricconverter">
        <w:smartTagPr>
          <w:attr w:name="ProductID" w:val="30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30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,  rozmieszczone  co </w:t>
      </w:r>
      <w:smartTag w:uri="urn:schemas-microsoft-com:office:smarttags" w:element="metricconverter">
        <w:smartTagPr>
          <w:attr w:name="ProductID" w:val="20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20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. Wysokość cyfr: </w:t>
      </w:r>
      <w:smartTag w:uri="urn:schemas-microsoft-com:office:smarttags" w:element="metricconverter">
        <w:smartTagPr>
          <w:attr w:name="ProductID" w:val="55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55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>. Grubość podziału musi zapewniać odpowiednią sztywność. Na podziale głównym ma się znaleźć logotyp IMGW-PIB (fot.1)</w:t>
      </w:r>
    </w:p>
    <w:p w14:paraId="1198BFBF" w14:textId="77777777" w:rsidR="00B444A1" w:rsidRPr="00920C56" w:rsidRDefault="00B444A1" w:rsidP="00B444A1">
      <w:pPr>
        <w:spacing w:after="120" w:line="240" w:lineRule="auto"/>
        <w:jc w:val="both"/>
        <w:rPr>
          <w:rFonts w:eastAsia="Times New Roman" w:cs="Calibri"/>
          <w:kern w:val="0"/>
          <w:u w:val="single"/>
          <w:lang w:eastAsia="pl-PL"/>
          <w14:ligatures w14:val="none"/>
        </w:rPr>
      </w:pPr>
      <w:r w:rsidRPr="00920C56">
        <w:rPr>
          <w:rFonts w:eastAsia="Times New Roman" w:cs="Calibri"/>
          <w:kern w:val="0"/>
          <w:u w:val="single"/>
          <w:lang w:eastAsia="pl-PL"/>
          <w14:ligatures w14:val="none"/>
        </w:rPr>
        <w:t>Listwa decymetrowa</w:t>
      </w:r>
    </w:p>
    <w:p w14:paraId="2C00B63D" w14:textId="77777777" w:rsidR="00B444A1" w:rsidRPr="00920C56" w:rsidRDefault="00B444A1" w:rsidP="00B444A1">
      <w:pPr>
        <w:spacing w:after="120" w:line="240" w:lineRule="auto"/>
        <w:jc w:val="both"/>
        <w:rPr>
          <w:rFonts w:eastAsia="Times New Roman" w:cs="Calibri"/>
          <w:kern w:val="0"/>
          <w:u w:val="single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 xml:space="preserve">Listwę stanowi pasek długości </w:t>
      </w:r>
      <w:smartTag w:uri="urn:schemas-microsoft-com:office:smarttags" w:element="metricconverter">
        <w:smartTagPr>
          <w:attr w:name="ProductID" w:val="500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500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 (tolerancja wymiaru +/- </w:t>
      </w:r>
      <w:smartTag w:uri="urn:schemas-microsoft-com:office:smarttags" w:element="metricconverter">
        <w:smartTagPr>
          <w:attr w:name="ProductID" w:val="0.5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0.5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), szerokości </w:t>
      </w:r>
      <w:smartTag w:uri="urn:schemas-microsoft-com:office:smarttags" w:element="metricconverter">
        <w:smartTagPr>
          <w:attr w:name="ProductID" w:val="40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40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0,5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), grubość 3,5 do 4mm z opisem cyfrowym co 1 decymetr. Opis każdego paska ma być złożony z pięciu cyfr 0 lub 1 lub 2 itd. do 9. Przykład takiego cechowania, gdzie opis stanowią „zera” przedstawia (fot. 2.) Listwa ta jest mocowana na łacie wodowskazowej wraz z podziałem głównym, co determinuje by jego całkowita szerokość nie przekraczała </w:t>
      </w:r>
      <w:smartTag w:uri="urn:schemas-microsoft-com:office:smarttags" w:element="metricconverter">
        <w:smartTagPr>
          <w:attr w:name="ProductID" w:val="150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150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 ( z uwagi na sposób montażu fot.3)</w:t>
      </w:r>
    </w:p>
    <w:p w14:paraId="325C1050" w14:textId="77777777" w:rsidR="00B444A1" w:rsidRPr="00920C56" w:rsidRDefault="00B444A1" w:rsidP="00B444A1">
      <w:pPr>
        <w:spacing w:after="12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>Na podziale głównym ma znaleźć się logotyp IMGW-PIB o średnicy około 35 mm (fot. 3,4). Ostateczny (zwymiarowany) wzór logotypu IMGW-PIB zostanie dostarczony Wykonawcy drogą elektroniczną po podpisaniu umowy. Będzie to wersja produkcyjna.</w:t>
      </w:r>
    </w:p>
    <w:p w14:paraId="10EA91DA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u w:val="single"/>
          <w:lang w:eastAsia="pl-PL"/>
          <w14:ligatures w14:val="none"/>
        </w:rPr>
      </w:pPr>
      <w:r w:rsidRPr="00920C56">
        <w:rPr>
          <w:rFonts w:eastAsia="Times New Roman" w:cs="Calibri"/>
          <w:kern w:val="0"/>
          <w:u w:val="single"/>
          <w:lang w:eastAsia="pl-PL"/>
          <w14:ligatures w14:val="none"/>
        </w:rPr>
        <w:t>Listwa dwukolorowa</w:t>
      </w:r>
    </w:p>
    <w:p w14:paraId="11EA01EF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u w:val="single"/>
          <w:lang w:eastAsia="pl-PL"/>
          <w14:ligatures w14:val="none"/>
        </w:rPr>
      </w:pPr>
    </w:p>
    <w:p w14:paraId="5958E7F8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 xml:space="preserve">Listwę stanowi pasek długości 1000 mm (tolerancja wymiaru +/- 1 mm), szerokości </w:t>
      </w:r>
      <w:smartTag w:uri="urn:schemas-microsoft-com:office:smarttags" w:element="metricconverter">
        <w:smartTagPr>
          <w:attr w:name="ProductID" w:val="40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40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920C56">
          <w:rPr>
            <w:rFonts w:eastAsia="Times New Roman" w:cs="Calibri"/>
            <w:kern w:val="0"/>
            <w:lang w:eastAsia="pl-PL"/>
            <w14:ligatures w14:val="none"/>
          </w:rPr>
          <w:t>0,5 mm</w:t>
        </w:r>
      </w:smartTag>
      <w:r w:rsidRPr="00920C56">
        <w:rPr>
          <w:rFonts w:eastAsia="Times New Roman" w:cs="Calibri"/>
          <w:kern w:val="0"/>
          <w:lang w:eastAsia="pl-PL"/>
          <w14:ligatures w14:val="none"/>
        </w:rPr>
        <w:t xml:space="preserve">), grubość 3,5 do 4 mm. </w:t>
      </w:r>
    </w:p>
    <w:p w14:paraId="42C7ED22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>Pasek ma mieć na całych powierzchniach głównych, jednolicie naniesione kolory. Jedna strona paska ma mieć kolor czerwony, a przeciwna kolor niebieski. Kody kolorów, zostaną dostarczone Wykonawcy analogicznie do logotypu IMGW-PIB.</w:t>
      </w:r>
    </w:p>
    <w:p w14:paraId="0AE11B9A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>Wymogi jakościowe dla tego komponentu są tożsame z podziałem głównym i listwą decymetrową.</w:t>
      </w:r>
    </w:p>
    <w:p w14:paraId="78ECAC26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</w:p>
    <w:p w14:paraId="2A951967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</w:p>
    <w:p w14:paraId="34FC57F7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</w:p>
    <w:p w14:paraId="4FC76683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</w:p>
    <w:p w14:paraId="2FB489E1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</w:p>
    <w:p w14:paraId="3C1A51DB" w14:textId="77777777" w:rsidR="00B444A1" w:rsidRPr="00920C56" w:rsidRDefault="00B444A1" w:rsidP="00B444A1">
      <w:pPr>
        <w:numPr>
          <w:ilvl w:val="0"/>
          <w:numId w:val="1"/>
        </w:numPr>
        <w:spacing w:after="120" w:line="240" w:lineRule="auto"/>
        <w:jc w:val="both"/>
        <w:rPr>
          <w:rFonts w:eastAsia="Times New Roman" w:cs="Calibri"/>
          <w:b/>
          <w:kern w:val="0"/>
          <w:lang w:eastAsia="pl-PL"/>
          <w14:ligatures w14:val="none"/>
        </w:rPr>
      </w:pPr>
      <w:r w:rsidRPr="00920C56">
        <w:rPr>
          <w:rFonts w:eastAsia="Times New Roman" w:cs="Calibri"/>
          <w:b/>
          <w:kern w:val="0"/>
          <w:lang w:eastAsia="pl-PL"/>
          <w14:ligatures w14:val="none"/>
        </w:rPr>
        <w:t xml:space="preserve"> Ilość zamawianych podziałów wodowskazowych: </w:t>
      </w:r>
    </w:p>
    <w:p w14:paraId="58C32595" w14:textId="77777777" w:rsidR="00B444A1" w:rsidRPr="00920C56" w:rsidRDefault="00B444A1" w:rsidP="00B444A1">
      <w:pPr>
        <w:spacing w:after="120" w:line="240" w:lineRule="auto"/>
        <w:ind w:left="720"/>
        <w:jc w:val="both"/>
        <w:rPr>
          <w:rFonts w:eastAsia="Times New Roman" w:cs="Calibri"/>
          <w:b/>
          <w:kern w:val="0"/>
          <w:lang w:eastAsia="pl-PL"/>
          <w14:ligatures w14:val="none"/>
        </w:rPr>
      </w:pPr>
    </w:p>
    <w:p w14:paraId="5185BBF7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u w:val="single"/>
          <w:lang w:eastAsia="pl-PL"/>
          <w14:ligatures w14:val="none"/>
        </w:rPr>
      </w:pPr>
      <w:r w:rsidRPr="00920C56">
        <w:rPr>
          <w:rFonts w:eastAsia="Times New Roman" w:cs="Calibri"/>
          <w:kern w:val="0"/>
          <w:u w:val="single"/>
          <w:lang w:eastAsia="pl-PL"/>
          <w14:ligatures w14:val="none"/>
        </w:rPr>
        <w:t>Podziały główne:</w:t>
      </w:r>
    </w:p>
    <w:p w14:paraId="1288CFB8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lang w:eastAsia="x-none"/>
          <w14:ligatures w14:val="none"/>
        </w:rPr>
      </w:pPr>
      <w:r w:rsidRPr="00920C56">
        <w:rPr>
          <w:rFonts w:eastAsia="Times New Roman" w:cs="Calibri"/>
          <w:bCs/>
          <w:kern w:val="0"/>
          <w:lang w:eastAsia="pl-PL"/>
          <w14:ligatures w14:val="none"/>
        </w:rPr>
        <w:t>Tablice z podziałką 0-</w:t>
      </w:r>
      <w:smartTag w:uri="urn:schemas-microsoft-com:office:smarttags" w:element="metricconverter">
        <w:smartTagPr>
          <w:attr w:name="ProductID" w:val="500 mm"/>
        </w:smartTagPr>
        <w:r w:rsidRPr="00920C56">
          <w:rPr>
            <w:rFonts w:eastAsia="Times New Roman" w:cs="Calibri"/>
            <w:bCs/>
            <w:kern w:val="0"/>
            <w:lang w:eastAsia="pl-PL"/>
            <w14:ligatures w14:val="none"/>
          </w:rPr>
          <w:t>500 mm</w:t>
        </w:r>
      </w:smartTag>
      <w:r w:rsidRPr="00920C56">
        <w:rPr>
          <w:rFonts w:eastAsia="Times New Roman" w:cs="Calibri"/>
          <w:b/>
          <w:kern w:val="0"/>
          <w:lang w:eastAsia="pl-PL"/>
          <w14:ligatures w14:val="none"/>
        </w:rPr>
        <w:t xml:space="preserve"> -  </w:t>
      </w:r>
      <w:r w:rsidRPr="00920C56">
        <w:rPr>
          <w:rFonts w:eastAsia="Times New Roman" w:cs="Calibri"/>
          <w:b/>
          <w:bCs/>
          <w:kern w:val="0"/>
          <w:lang w:eastAsia="x-none"/>
          <w14:ligatures w14:val="none"/>
        </w:rPr>
        <w:t>300 szt. do max. 1000 szt.</w:t>
      </w:r>
    </w:p>
    <w:p w14:paraId="25958948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lang w:eastAsia="x-none"/>
          <w14:ligatures w14:val="none"/>
        </w:rPr>
      </w:pPr>
      <w:r w:rsidRPr="00920C56">
        <w:rPr>
          <w:rFonts w:eastAsia="Times New Roman" w:cs="Calibri"/>
          <w:bCs/>
          <w:kern w:val="0"/>
          <w:lang w:eastAsia="pl-PL"/>
          <w14:ligatures w14:val="none"/>
        </w:rPr>
        <w:t>Tablice z podziałką 500-</w:t>
      </w:r>
      <w:smartTag w:uri="urn:schemas-microsoft-com:office:smarttags" w:element="metricconverter">
        <w:smartTagPr>
          <w:attr w:name="ProductID" w:val="1000 mm"/>
        </w:smartTagPr>
        <w:r w:rsidRPr="00920C56">
          <w:rPr>
            <w:rFonts w:eastAsia="Times New Roman" w:cs="Calibri"/>
            <w:bCs/>
            <w:kern w:val="0"/>
            <w:lang w:eastAsia="pl-PL"/>
            <w14:ligatures w14:val="none"/>
          </w:rPr>
          <w:t>1000 mm</w:t>
        </w:r>
      </w:smartTag>
      <w:r w:rsidRPr="00920C56">
        <w:rPr>
          <w:rFonts w:eastAsia="Times New Roman" w:cs="Calibri"/>
          <w:b/>
          <w:kern w:val="0"/>
          <w:lang w:eastAsia="pl-PL"/>
          <w14:ligatures w14:val="none"/>
        </w:rPr>
        <w:t xml:space="preserve"> – </w:t>
      </w:r>
      <w:r w:rsidRPr="00920C56">
        <w:rPr>
          <w:rFonts w:eastAsia="Times New Roman" w:cs="Calibri"/>
          <w:b/>
          <w:kern w:val="0"/>
          <w:lang w:eastAsia="x-none"/>
          <w14:ligatures w14:val="none"/>
        </w:rPr>
        <w:t>300 szt. do max. 1000 szt.</w:t>
      </w:r>
    </w:p>
    <w:p w14:paraId="74C054E9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sz w:val="20"/>
          <w:szCs w:val="20"/>
          <w:lang w:eastAsia="x-none"/>
          <w14:ligatures w14:val="none"/>
        </w:rPr>
      </w:pPr>
    </w:p>
    <w:p w14:paraId="118672F9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u w:val="single"/>
          <w:lang w:eastAsia="pl-PL"/>
          <w14:ligatures w14:val="none"/>
        </w:rPr>
      </w:pPr>
      <w:r w:rsidRPr="00920C56">
        <w:rPr>
          <w:rFonts w:eastAsia="Times New Roman" w:cs="Calibri"/>
          <w:kern w:val="0"/>
          <w:u w:val="single"/>
          <w:lang w:eastAsia="pl-PL"/>
          <w14:ligatures w14:val="none"/>
        </w:rPr>
        <w:t>Listwy decymetrowe</w:t>
      </w:r>
    </w:p>
    <w:p w14:paraId="6DF5658A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u w:val="single"/>
          <w:lang w:eastAsia="pl-PL"/>
          <w14:ligatures w14:val="none"/>
        </w:rPr>
        <w:sectPr w:rsidR="00B444A1" w:rsidRPr="00920C56" w:rsidSect="00B444A1">
          <w:pgSz w:w="11906" w:h="16838"/>
          <w:pgMar w:top="360" w:right="1106" w:bottom="540" w:left="1417" w:header="708" w:footer="708" w:gutter="0"/>
          <w:cols w:space="708"/>
        </w:sectPr>
      </w:pPr>
    </w:p>
    <w:p w14:paraId="7A4549FA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>Tablice wąskie 0-500 mm z opisem:</w:t>
      </w:r>
    </w:p>
    <w:p w14:paraId="4F33FCEC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highlight w:val="yellow"/>
          <w:lang w:eastAsia="x-none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 xml:space="preserve">„0” –  „9” </w:t>
      </w:r>
      <w:r w:rsidRPr="00920C56">
        <w:rPr>
          <w:rFonts w:eastAsia="Times New Roman" w:cs="Calibri"/>
          <w:b/>
          <w:bCs/>
          <w:kern w:val="0"/>
          <w:lang w:eastAsia="pl-PL"/>
          <w14:ligatures w14:val="none"/>
        </w:rPr>
        <w:t xml:space="preserve">-  </w:t>
      </w:r>
      <w:r w:rsidRPr="00920C56">
        <w:rPr>
          <w:rFonts w:eastAsia="Times New Roman" w:cs="Calibri"/>
          <w:b/>
          <w:bCs/>
          <w:kern w:val="0"/>
          <w:lang w:eastAsia="x-none"/>
          <w14:ligatures w14:val="none"/>
        </w:rPr>
        <w:t>od min. 600  szt. do max. 3000 szt.</w:t>
      </w:r>
    </w:p>
    <w:p w14:paraId="187AC261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u w:val="single"/>
          <w:lang w:eastAsia="pl-PL"/>
          <w14:ligatures w14:val="none"/>
        </w:rPr>
      </w:pPr>
    </w:p>
    <w:p w14:paraId="387FB225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u w:val="single"/>
          <w:lang w:eastAsia="pl-PL"/>
          <w14:ligatures w14:val="none"/>
        </w:rPr>
        <w:t>Listwy dwukolorowe</w:t>
      </w:r>
      <w:r w:rsidRPr="00920C56">
        <w:rPr>
          <w:rFonts w:eastAsia="Times New Roman" w:cs="Calibri"/>
          <w:kern w:val="0"/>
          <w:lang w:eastAsia="pl-PL"/>
          <w14:ligatures w14:val="none"/>
        </w:rPr>
        <w:t xml:space="preserve"> </w:t>
      </w:r>
    </w:p>
    <w:p w14:paraId="15E2040B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 xml:space="preserve">niebiesko/czerwone 0-1000 mm </w:t>
      </w:r>
    </w:p>
    <w:p w14:paraId="1AC1E23B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>Listwa dwukolorowa: czerwony RAL 3028, niebieski RAL 5002</w:t>
      </w:r>
    </w:p>
    <w:p w14:paraId="1B10A8CF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>Listwa dwukolorowa czyli jedna strona jest czerwona, a druga niebieska</w:t>
      </w:r>
    </w:p>
    <w:p w14:paraId="6928C997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</w:p>
    <w:p w14:paraId="5CCA8F21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b/>
          <w:bCs/>
          <w:kern w:val="0"/>
          <w:lang w:eastAsia="pl-PL"/>
          <w14:ligatures w14:val="none"/>
        </w:rPr>
      </w:pPr>
      <w:r w:rsidRPr="00920C56">
        <w:rPr>
          <w:rFonts w:eastAsia="Times New Roman" w:cs="Calibri"/>
          <w:b/>
          <w:bCs/>
          <w:kern w:val="0"/>
          <w:lang w:eastAsia="pl-PL"/>
          <w14:ligatures w14:val="none"/>
        </w:rPr>
        <w:t>od min. 200 szt. do max. 800 szt.</w:t>
      </w:r>
    </w:p>
    <w:p w14:paraId="61E1C6B1" w14:textId="77777777" w:rsidR="00B444A1" w:rsidRPr="00920C56" w:rsidRDefault="00B444A1" w:rsidP="00B444A1">
      <w:pPr>
        <w:spacing w:after="120" w:line="276" w:lineRule="auto"/>
        <w:jc w:val="both"/>
        <w:rPr>
          <w:rFonts w:eastAsia="Times New Roman" w:cs="Calibri"/>
          <w:b/>
          <w:bCs/>
          <w:kern w:val="0"/>
          <w:lang w:eastAsia="pl-PL"/>
          <w14:ligatures w14:val="none"/>
        </w:rPr>
        <w:sectPr w:rsidR="00B444A1" w:rsidRPr="00920C56" w:rsidSect="00B444A1">
          <w:type w:val="continuous"/>
          <w:pgSz w:w="11906" w:h="16838"/>
          <w:pgMar w:top="360" w:right="1106" w:bottom="540" w:left="1417" w:header="708" w:footer="708" w:gutter="0"/>
          <w:cols w:num="2" w:space="708" w:equalWidth="0">
            <w:col w:w="4337" w:space="708"/>
            <w:col w:w="4337"/>
          </w:cols>
        </w:sectPr>
      </w:pPr>
    </w:p>
    <w:p w14:paraId="2D906F1C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lastRenderedPageBreak/>
        <w:t>Fot. 1</w:t>
      </w:r>
    </w:p>
    <w:p w14:paraId="190353D9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2FB47B08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  <w:r w:rsidRPr="00920C56">
        <w:rPr>
          <w:rFonts w:eastAsia="Times New Roman" w:cs="Calibri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5E719B22" wp14:editId="47593E6B">
            <wp:extent cx="6048375" cy="6915150"/>
            <wp:effectExtent l="19050" t="0" r="9525" b="0"/>
            <wp:docPr id="2" name="Obraz 1" descr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691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E0BB85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7D86C071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3591BB2B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32C62DE0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77DAA843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1A7613E5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3EE5EDEA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15E50CEB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0F2D3DDC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55AAD406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>Fot. 2</w:t>
      </w:r>
    </w:p>
    <w:p w14:paraId="1594BF60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  <w:r w:rsidRPr="00920C56">
        <w:rPr>
          <w:rFonts w:eastAsia="Times New Roman" w:cs="Calibri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45BC6B42" wp14:editId="686B9B64">
            <wp:extent cx="5495925" cy="6953250"/>
            <wp:effectExtent l="19050" t="0" r="9525" b="0"/>
            <wp:docPr id="3" name="Obraz 2" descr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695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7E8D83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40078094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7ADC8B1F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79D230E6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0FAAE583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2A33931B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179F3559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51CE5632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73CDA536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3347FBC8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6B930889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>Fot. 3</w:t>
      </w:r>
    </w:p>
    <w:p w14:paraId="02BB6AA8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  <w:r w:rsidRPr="00920C56">
        <w:rPr>
          <w:rFonts w:eastAsia="Times New Roman" w:cs="Calibri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0335320F" wp14:editId="2ACE1E0D">
            <wp:extent cx="5600700" cy="6096000"/>
            <wp:effectExtent l="19050" t="0" r="0" b="0"/>
            <wp:docPr id="4" name="Obraz 3" descr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F75E4F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2EE9EE25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5F61CC25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45E184F4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77B6527D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28877B0D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70885C17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3A41CB4D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09212703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57E24FFE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20239C11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1126F505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1E92872D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76589253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3EF27735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76D40C3C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lang w:eastAsia="pl-PL"/>
          <w14:ligatures w14:val="none"/>
        </w:rPr>
      </w:pPr>
      <w:r w:rsidRPr="00920C56">
        <w:rPr>
          <w:rFonts w:eastAsia="Times New Roman" w:cs="Calibri"/>
          <w:kern w:val="0"/>
          <w:lang w:eastAsia="pl-PL"/>
          <w14:ligatures w14:val="none"/>
        </w:rPr>
        <w:t>Fot. 4</w:t>
      </w:r>
    </w:p>
    <w:p w14:paraId="3FE64DC9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0142F8C2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  <w:r w:rsidRPr="00920C56">
        <w:rPr>
          <w:rFonts w:eastAsia="Times New Roman" w:cs="Calibri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40639FD5" wp14:editId="48F78752">
            <wp:extent cx="5760720" cy="3879850"/>
            <wp:effectExtent l="0" t="0" r="0" b="6350"/>
            <wp:docPr id="1" name="Obraz 1" descr="C:\Users\janeszko\AppData\Local\Microsoft\Windows\Temporary Internet Files\Content.Outlook\H60P8207\IMGW-PIB podział wodowskazowy 2020 - wzór LAMA poprawiony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eszko\AppData\Local\Microsoft\Windows\Temporary Internet Files\Content.Outlook\H60P8207\IMGW-PIB podział wodowskazowy 2020 - wzór LAMA poprawiony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7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4DCAB3" w14:textId="77777777" w:rsidR="00B444A1" w:rsidRPr="00920C56" w:rsidRDefault="00B444A1" w:rsidP="00B444A1">
      <w:pPr>
        <w:spacing w:after="0" w:line="240" w:lineRule="auto"/>
        <w:jc w:val="both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2065EC8D" w14:textId="77777777" w:rsidR="00B444A1" w:rsidRPr="00920C56" w:rsidRDefault="00B444A1" w:rsidP="00B444A1">
      <w:pPr>
        <w:spacing w:after="0" w:line="240" w:lineRule="auto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0130B30E" w14:textId="77777777" w:rsidR="00B444A1" w:rsidRPr="00920C56" w:rsidRDefault="00B444A1" w:rsidP="00B444A1">
      <w:pPr>
        <w:spacing w:after="0" w:line="240" w:lineRule="auto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4451D266" w14:textId="77777777" w:rsidR="00B444A1" w:rsidRPr="00920C56" w:rsidRDefault="00B444A1" w:rsidP="00B444A1">
      <w:pPr>
        <w:spacing w:after="0" w:line="240" w:lineRule="auto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12017EFE" w14:textId="77777777" w:rsidR="00B444A1" w:rsidRPr="00920C56" w:rsidRDefault="00B444A1" w:rsidP="00B444A1">
      <w:pPr>
        <w:spacing w:after="0" w:line="240" w:lineRule="auto"/>
        <w:rPr>
          <w:rFonts w:eastAsia="Times New Roman" w:cs="Calibri"/>
          <w:kern w:val="0"/>
          <w:sz w:val="24"/>
          <w:szCs w:val="24"/>
          <w:lang w:eastAsia="pl-PL"/>
          <w14:ligatures w14:val="none"/>
        </w:rPr>
      </w:pPr>
    </w:p>
    <w:p w14:paraId="21ADE396" w14:textId="77777777" w:rsidR="00991904" w:rsidRPr="00920C56" w:rsidRDefault="00991904">
      <w:pPr>
        <w:rPr>
          <w:rFonts w:cs="Calibri"/>
        </w:rPr>
      </w:pPr>
    </w:p>
    <w:sectPr w:rsidR="00991904" w:rsidRPr="00920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665BB"/>
    <w:multiLevelType w:val="hybridMultilevel"/>
    <w:tmpl w:val="174051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06425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1A5BCB"/>
    <w:rsid w:val="004D6204"/>
    <w:rsid w:val="006957A4"/>
    <w:rsid w:val="00780EF8"/>
    <w:rsid w:val="008E1338"/>
    <w:rsid w:val="00920C56"/>
    <w:rsid w:val="00950554"/>
    <w:rsid w:val="00991904"/>
    <w:rsid w:val="00B444A1"/>
    <w:rsid w:val="00D1406C"/>
    <w:rsid w:val="00E9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533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Marta Leszczyńska</cp:lastModifiedBy>
  <cp:revision>5</cp:revision>
  <dcterms:created xsi:type="dcterms:W3CDTF">2025-04-14T13:58:00Z</dcterms:created>
  <dcterms:modified xsi:type="dcterms:W3CDTF">2026-10-08T08:21:00Z</dcterms:modified>
</cp:coreProperties>
</file>